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60" w:rsidRPr="00C45C79" w:rsidRDefault="00346860" w:rsidP="00346860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C45C7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946FF5" wp14:editId="1097C640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C7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346860" w:rsidRPr="00C45C79" w:rsidRDefault="00346860" w:rsidP="00594AAE">
      <w:pPr>
        <w:pStyle w:val="a5"/>
        <w:rPr>
          <w:lang w:eastAsia="ru-RU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Pr="00594AAE" w:rsidRDefault="00594AAE" w:rsidP="00594AAE">
      <w:pPr>
        <w:pStyle w:val="a5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КАДАСТРОВАЯ ПАЛАТА ВЫДАЛА ПОЧТИ 100 ТЫСЯЧ ВЫПИСОК ИЗ РЕЕСТРА НЕДВИЖИМОСТИ</w:t>
      </w:r>
    </w:p>
    <w:p w:rsidR="00594AAE" w:rsidRPr="00594AAE" w:rsidRDefault="00594AAE" w:rsidP="00594AAE">
      <w:pPr>
        <w:pStyle w:val="a5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январе-феврале 2019 года Кадастровая палата по Курской области предоставила более 98 тыс. выписок из Единого государственного реестра недвижимости (ЕГРН). Электронн</w:t>
      </w:r>
      <w:bookmarkStart w:id="0" w:name="_GoBack"/>
      <w:bookmarkEnd w:id="0"/>
      <w:r w:rsidRPr="00594AAE">
        <w:rPr>
          <w:rFonts w:ascii="Segoe UI" w:hAnsi="Segoe UI" w:cs="Segoe UI"/>
          <w:color w:val="000000" w:themeColor="text1"/>
          <w:sz w:val="24"/>
          <w:szCs w:val="24"/>
        </w:rPr>
        <w:t>ый вид предоставления сведений из ЕГРН получил безусловное предпочтение у заявителей – 88% против 12% бумажных.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каком формате получить сведения,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Электронная выписка направляется на электронную почту заявителя в составе пакета документов формата ZIP. Выписка представляет собой документ в виде XML-файла, к которому также прилагается электронная подпись в формате SIG.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Просмотреть полученные данные и проверить корректность электронной подписи, которой заверен документ, можно с помощью </w:t>
      </w:r>
      <w:hyperlink r:id="rId7" w:history="1">
        <w:r w:rsidRPr="00594AA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594AAE">
        <w:rPr>
          <w:rFonts w:ascii="Segoe UI" w:hAnsi="Segoe UI" w:cs="Segoe UI"/>
          <w:color w:val="000000" w:themeColor="text1"/>
          <w:sz w:val="24"/>
          <w:szCs w:val="24"/>
        </w:rPr>
        <w:t> «Проверка электронного документа» на сайте Росреестра.  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Также сервис позволяет сформировать печатное представление выписки. Для этого необходимо загрузить XML-файл и нажать кнопку «Проверить», а затем выбрать функцию «Показать файл».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дарении, обмене,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Задать вопросы о возможностях электронных сервисов Росреестра можно по телефону Контактного центра 8-800-100-34-34.</w:t>
      </w:r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346860" w:rsidRPr="00C45C79" w:rsidRDefault="00346860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C45C79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9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sectPr w:rsidR="00346860" w:rsidRPr="00C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C38"/>
    <w:multiLevelType w:val="multilevel"/>
    <w:tmpl w:val="6D9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B0672"/>
    <w:multiLevelType w:val="multilevel"/>
    <w:tmpl w:val="0C8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5C"/>
    <w:rsid w:val="00127CA4"/>
    <w:rsid w:val="001B3D7D"/>
    <w:rsid w:val="00346860"/>
    <w:rsid w:val="004177F5"/>
    <w:rsid w:val="004451A8"/>
    <w:rsid w:val="00594AAE"/>
    <w:rsid w:val="00777A5C"/>
    <w:rsid w:val="00B8715C"/>
    <w:rsid w:val="00C15B99"/>
    <w:rsid w:val="00C45C79"/>
    <w:rsid w:val="00C72D1D"/>
    <w:rsid w:val="00E92DD2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1203-AAD5-4409-86B0-3A2BA61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76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78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vizual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Администрация Черницынского сельсовета</cp:lastModifiedBy>
  <cp:revision>2</cp:revision>
  <dcterms:created xsi:type="dcterms:W3CDTF">2019-03-14T08:17:00Z</dcterms:created>
  <dcterms:modified xsi:type="dcterms:W3CDTF">2019-03-14T08:17:00Z</dcterms:modified>
</cp:coreProperties>
</file>